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448" w:right="108"/>
        <w:rPr>
          <w:rFonts w:hint="eastAsia" w:ascii="仿宋_GB2312" w:hAnsi="仿宋_GB2312" w:eastAsia="仿宋_GB2312" w:cs="仿宋_GB2312"/>
          <w:sz w:val="44"/>
          <w:szCs w:val="44"/>
          <w:lang w:val="en-US"/>
        </w:rPr>
      </w:pPr>
      <w:r>
        <w:rPr>
          <w:rFonts w:hint="eastAsia" w:ascii="仿宋_GB2312" w:hAnsi="仿宋_GB2312" w:eastAsia="仿宋_GB2312" w:cs="仿宋_GB2312"/>
          <w:sz w:val="44"/>
          <w:szCs w:val="44"/>
        </w:rPr>
        <w:t>2024年北京工商大学</w:t>
      </w:r>
      <w:r>
        <w:rPr>
          <w:rFonts w:hint="eastAsia" w:ascii="仿宋_GB2312" w:hAnsi="仿宋_GB2312" w:eastAsia="仿宋_GB2312" w:cs="仿宋_GB2312"/>
          <w:sz w:val="44"/>
          <w:szCs w:val="44"/>
          <w:lang w:val="en-US" w:eastAsia="zh-CN"/>
        </w:rPr>
        <w:t>商</w:t>
      </w:r>
      <w:r>
        <w:rPr>
          <w:rFonts w:hint="eastAsia" w:ascii="仿宋_GB2312" w:hAnsi="仿宋_GB2312" w:eastAsia="仿宋_GB2312" w:cs="仿宋_GB2312"/>
          <w:sz w:val="44"/>
          <w:szCs w:val="44"/>
        </w:rPr>
        <w:t>学院</w:t>
      </w:r>
    </w:p>
    <w:p>
      <w:pPr>
        <w:pStyle w:val="2"/>
        <w:spacing w:line="360" w:lineRule="auto"/>
        <w:ind w:left="448" w:right="108"/>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高级</w:t>
      </w:r>
      <w:r>
        <w:rPr>
          <w:rFonts w:hint="eastAsia" w:ascii="仿宋_GB2312" w:hAnsi="仿宋_GB2312" w:eastAsia="仿宋_GB2312" w:cs="仿宋_GB2312"/>
          <w:sz w:val="44"/>
          <w:szCs w:val="44"/>
          <w:lang w:val="en-US"/>
        </w:rPr>
        <w:t>研修班</w:t>
      </w:r>
      <w:r>
        <w:rPr>
          <w:rFonts w:hint="eastAsia" w:ascii="仿宋_GB2312" w:hAnsi="仿宋_GB2312" w:eastAsia="仿宋_GB2312" w:cs="仿宋_GB2312"/>
          <w:sz w:val="44"/>
          <w:szCs w:val="44"/>
        </w:rPr>
        <w:t>招生简章</w:t>
      </w:r>
    </w:p>
    <w:p>
      <w:pPr>
        <w:pStyle w:val="3"/>
        <w:spacing w:before="273" w:line="360" w:lineRule="auto"/>
        <w:ind w:left="0" w:leftChars="0" w:firstLine="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color w:val="444D55"/>
          <w:sz w:val="32"/>
          <w:szCs w:val="32"/>
          <w:lang w:val="en-US" w:eastAsia="zh-CN"/>
        </w:rPr>
        <w:t>一、</w:t>
      </w:r>
      <w:r>
        <w:rPr>
          <w:rFonts w:hint="eastAsia" w:ascii="仿宋_GB2312" w:hAnsi="仿宋_GB2312" w:eastAsia="仿宋_GB2312" w:cs="仿宋_GB2312"/>
          <w:color w:val="444D55"/>
          <w:sz w:val="32"/>
          <w:szCs w:val="32"/>
        </w:rPr>
        <w:t>学院及专业优势简介</w:t>
      </w:r>
      <w:r>
        <w:rPr>
          <w:rFonts w:hint="eastAsia" w:ascii="仿宋_GB2312" w:hAnsi="仿宋_GB2312" w:eastAsia="仿宋_GB2312" w:cs="仿宋_GB2312"/>
          <w:color w:val="444D55"/>
          <w:w w:val="99"/>
          <w:sz w:val="28"/>
          <w:szCs w:val="28"/>
        </w:rPr>
        <w:t xml:space="preserve"> </w:t>
      </w:r>
    </w:p>
    <w:p>
      <w:pPr>
        <w:widowControl/>
        <w:spacing w:afterAutospacing="0" w:line="360" w:lineRule="auto"/>
        <w:ind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北京工商大学是以商科、轻工和食品为特色的高水平研究型大学。学校拥有工商管理、应用经济学、轻工技术与工程、食品科学与工程和系统科学5个一级学科博士点、18个一级学科硕士点，19个专业硕士学位点。现已发展成为理、工、经、管、文、法、艺等学科相互支撑、协调发展的多科性大学，并按照“开放、创新、特色、质量”方针，努力实现特色鲜明的高水平研究型大学发展目标。</w:t>
      </w:r>
    </w:p>
    <w:p>
      <w:pPr>
        <w:widowControl/>
        <w:spacing w:afterAutospacing="0" w:line="360" w:lineRule="auto"/>
        <w:ind w:firstLine="560" w:firstLineChars="200"/>
        <w:jc w:val="both"/>
        <w:rPr>
          <w:rFonts w:hint="eastAsia" w:ascii="仿宋_GB2312" w:hAnsi="仿宋_GB2312" w:eastAsia="仿宋_GB2312" w:cs="仿宋_GB2312"/>
          <w:color w:val="333333"/>
          <w:sz w:val="28"/>
          <w:szCs w:val="28"/>
        </w:rPr>
      </w:pPr>
    </w:p>
    <w:p>
      <w:pPr>
        <w:widowControl/>
        <w:spacing w:afterAutospacing="0" w:line="360" w:lineRule="auto"/>
        <w:ind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学院负责建设的工商管理一级学科，具有本科、硕士和博士完整的人才培养体系。本学科1960年招收本科生，1984年招收硕士生，2004年开始培养博士生，迄今累计培养本科生和研究生2万余人，涌现了张以宽、贺名仑等知名学者，培养了朱光耀、卢彦、孟扬、汪林朋、徐雷等杰出校友。现有工商管理一级学科（北京市高精尖学科）博士点和硕士点1个，拥有工商管理硕士（MBA）、会计专业硕士（MPAcc）2个专业硕士学位授权点，拥有会计学、工商管理、财务管理、市场营销、人力资源管理5个国家级和北京市一流本科专业。师资力量雄厚，拥有专业教师113名，其中教授27名、博士生导师15名，国务院特殊津贴专家1名，教育部工商管理教指委副主任委员1名，财政部会计名家3名，教育部青年长江学者1名，教育部新世纪优秀人才2名，北京市教学名师3名，北京市长城学者6名。学科不断创新，服务首都和行业发展，在会计与投资者保护、公司财务与国有资产管理、营销管理与数字消费、战略与创新创业管理等方面形成了特色优势。</w:t>
      </w:r>
    </w:p>
    <w:p>
      <w:pPr>
        <w:pStyle w:val="3"/>
        <w:spacing w:beforeAutospacing="0" w:afterAutospacing="0" w:line="360" w:lineRule="auto"/>
        <w:ind w:left="0" w:leftChars="0" w:firstLine="0" w:firstLineChars="0"/>
        <w:jc w:val="both"/>
        <w:rPr>
          <w:rFonts w:hint="eastAsia" w:ascii="仿宋_GB2312" w:hAnsi="仿宋_GB2312" w:eastAsia="仿宋_GB2312" w:cs="仿宋_GB2312"/>
          <w:color w:val="444D55"/>
          <w:sz w:val="32"/>
          <w:szCs w:val="32"/>
          <w:lang w:val="en-US" w:eastAsia="zh-CN"/>
        </w:rPr>
      </w:pPr>
      <w:r>
        <w:rPr>
          <w:rFonts w:hint="eastAsia" w:ascii="仿宋_GB2312" w:hAnsi="仿宋_GB2312" w:eastAsia="仿宋_GB2312" w:cs="仿宋_GB2312"/>
          <w:color w:val="444D55"/>
          <w:sz w:val="32"/>
          <w:szCs w:val="32"/>
          <w:lang w:val="en-US" w:eastAsia="zh-CN"/>
        </w:rPr>
        <w:t>二、培养目标</w:t>
      </w:r>
    </w:p>
    <w:p>
      <w:pPr>
        <w:pStyle w:val="3"/>
        <w:spacing w:beforeAutospacing="0" w:line="360" w:lineRule="auto"/>
        <w:ind w:left="0" w:leftChars="0" w:firstLine="0" w:firstLineChars="0"/>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一</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会计学方向</w:t>
      </w:r>
    </w:p>
    <w:p>
      <w:pPr>
        <w:pStyle w:val="3"/>
        <w:spacing w:beforeAutospacing="0" w:line="360" w:lineRule="auto"/>
        <w:ind w:left="0" w:leftChars="0" w:firstLine="560" w:firstLineChars="200"/>
        <w:jc w:val="both"/>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本专业培养具有家国情怀、经世济民、诚信服务、德法兼修，德智体美劳全面发展，具有独立从事财务会计理论与实务工作能力的中高级财会专业化人才。要求学生熟悉经济学与管理学基本理论知识，了解财务会计学科的重大性和前沿性进展，掌握基本的管理研究方法，精通一门外国语。提高学生在财务会计方面的理论修养，培养学生的专业判断能力和解决重大疑难问题的能力。使学生既熟悉中国国情又具备国际视野，熟悉和运用有关会计与审计方面的计算机软件；形成良好的心理素质、创新素质、创新精神与团队意识。</w:t>
      </w:r>
    </w:p>
    <w:p>
      <w:pPr>
        <w:pStyle w:val="3"/>
        <w:spacing w:beforeAutospacing="0" w:line="360" w:lineRule="auto"/>
        <w:ind w:left="0" w:leftChars="0" w:firstLine="0" w:firstLineChars="0"/>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二</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企业管理方向</w:t>
      </w:r>
    </w:p>
    <w:p>
      <w:pPr>
        <w:pStyle w:val="3"/>
        <w:spacing w:beforeAutospacing="0" w:line="360" w:lineRule="auto"/>
        <w:ind w:left="0" w:leftChars="0" w:firstLine="560" w:firstLineChars="200"/>
        <w:jc w:val="both"/>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坚持立德树人的根本任务，培养德智体美劳全面发展的社会主义建设者和接班人。系统掌握管理学</w:t>
      </w:r>
      <w:bookmarkStart w:id="0" w:name="_GoBack"/>
      <w:bookmarkEnd w:id="0"/>
      <w:r>
        <w:rPr>
          <w:rFonts w:hint="eastAsia" w:ascii="仿宋_GB2312" w:hAnsi="仿宋_GB2312" w:eastAsia="仿宋_GB2312" w:cs="仿宋_GB2312"/>
          <w:b w:val="0"/>
          <w:bCs w:val="0"/>
          <w:sz w:val="28"/>
          <w:szCs w:val="28"/>
        </w:rPr>
        <w:t>和经济学基础理论和专门知识，熟悉现代市场经济、服务产业发展和数字化管理的相关知识；具备运用现代管理学理论、方法、数字化工具，分析和解决工商企业管理问题的能力；较熟练掌握一门外语，具有较强的科研能力；具有健康的身体和良好的心理素质。</w:t>
      </w:r>
    </w:p>
    <w:p>
      <w:pPr>
        <w:rPr>
          <w:rFonts w:hint="eastAsia"/>
        </w:rPr>
      </w:pPr>
    </w:p>
    <w:p>
      <w:pPr>
        <w:pStyle w:val="3"/>
        <w:numPr>
          <w:ilvl w:val="0"/>
          <w:numId w:val="1"/>
        </w:numPr>
        <w:spacing w:beforeAutospacing="0" w:line="360" w:lineRule="auto"/>
        <w:ind w:left="0" w:leftChars="0" w:firstLine="0" w:firstLineChars="0"/>
        <w:jc w:val="both"/>
        <w:rPr>
          <w:rFonts w:hint="eastAsia" w:ascii="仿宋_GB2312" w:hAnsi="仿宋_GB2312" w:eastAsia="仿宋_GB2312" w:cs="仿宋_GB2312"/>
          <w:color w:val="444D55"/>
          <w:sz w:val="32"/>
          <w:szCs w:val="32"/>
          <w:lang w:val="en-US" w:eastAsia="zh-CN"/>
        </w:rPr>
      </w:pPr>
      <w:r>
        <w:rPr>
          <w:rFonts w:hint="eastAsia" w:ascii="仿宋_GB2312" w:hAnsi="仿宋_GB2312" w:eastAsia="仿宋_GB2312" w:cs="仿宋_GB2312"/>
          <w:color w:val="444D55"/>
          <w:sz w:val="32"/>
          <w:szCs w:val="32"/>
          <w:lang w:val="en-US" w:eastAsia="zh-CN"/>
        </w:rPr>
        <w:t xml:space="preserve">课程安排 </w:t>
      </w:r>
    </w:p>
    <w:p>
      <w:pPr>
        <w:spacing w:line="300" w:lineRule="auto"/>
        <w:jc w:val="both"/>
        <w:rPr>
          <w:rFonts w:hint="eastAsia" w:ascii="仿宋_GB2312" w:hAnsi="仿宋_GB2312" w:eastAsia="仿宋_GB2312" w:cs="仿宋_GB2312"/>
          <w:b w:val="0"/>
          <w:bCs w:val="0"/>
          <w:sz w:val="28"/>
          <w:szCs w:val="28"/>
          <w:lang w:val="en-US" w:eastAsia="zh-CN" w:bidi="zh-CN"/>
        </w:rPr>
      </w:pPr>
      <w:r>
        <w:rPr>
          <w:rFonts w:hint="eastAsia" w:ascii="仿宋_GB2312" w:hAnsi="仿宋_GB2312" w:eastAsia="仿宋_GB2312" w:cs="仿宋_GB2312"/>
          <w:b w:val="0"/>
          <w:bCs w:val="0"/>
          <w:sz w:val="28"/>
          <w:szCs w:val="28"/>
          <w:lang w:val="zh-CN" w:eastAsia="zh-CN" w:bidi="zh-CN"/>
        </w:rPr>
        <w:t>（一）</w:t>
      </w:r>
      <w:r>
        <w:rPr>
          <w:rFonts w:hint="eastAsia" w:ascii="仿宋_GB2312" w:hAnsi="仿宋_GB2312" w:eastAsia="仿宋_GB2312" w:cs="仿宋_GB2312"/>
          <w:b w:val="0"/>
          <w:bCs w:val="0"/>
          <w:sz w:val="28"/>
          <w:szCs w:val="28"/>
          <w:lang w:val="en-US" w:eastAsia="zh-CN" w:bidi="zh-CN"/>
        </w:rPr>
        <w:t>会计学方向</w:t>
      </w:r>
    </w:p>
    <w:tbl>
      <w:tblPr>
        <w:tblStyle w:val="8"/>
        <w:tblW w:w="4547" w:type="pct"/>
        <w:tblInd w:w="0" w:type="dxa"/>
        <w:tblLayout w:type="autofit"/>
        <w:tblCellMar>
          <w:top w:w="0" w:type="dxa"/>
          <w:left w:w="108" w:type="dxa"/>
          <w:bottom w:w="0" w:type="dxa"/>
          <w:right w:w="108" w:type="dxa"/>
        </w:tblCellMar>
      </w:tblPr>
      <w:tblGrid>
        <w:gridCol w:w="9063"/>
      </w:tblGrid>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sz w:val="28"/>
                <w:szCs w:val="28"/>
                <w:lang w:val="en-US" w:bidi="ar"/>
              </w:rPr>
            </w:pPr>
            <w:r>
              <w:rPr>
                <w:rFonts w:hint="eastAsia" w:ascii="仿宋_GB2312" w:hAnsi="仿宋_GB2312" w:eastAsia="仿宋_GB2312" w:cs="仿宋_GB2312"/>
                <w:color w:val="000000"/>
                <w:kern w:val="0"/>
                <w:sz w:val="28"/>
                <w:szCs w:val="28"/>
                <w:lang w:val="en-US" w:eastAsia="zh-CN" w:bidi="ar"/>
              </w:rPr>
              <w:t>新时代中国特色社会主义理论与实践</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bidi="ar"/>
              </w:rPr>
              <w:t>英语 I</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bidi="ar"/>
              </w:rPr>
              <w:t>研究生学术道德规范与论文写作指导</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bidi="ar"/>
              </w:rPr>
              <w:t>心理健康</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习近平新时代中国特色社会主义思想专题研究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会计理论研究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财务理论研究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管理研究方法</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审计理论与实务</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会计实务专题</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高级管理会计</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财务报表解读与分析</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纳税管理</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商业大数据分析与应用</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资本营运与财务战略</w:t>
            </w:r>
          </w:p>
        </w:tc>
      </w:tr>
    </w:tbl>
    <w:p>
      <w:pPr>
        <w:spacing w:line="300" w:lineRule="auto"/>
        <w:jc w:val="both"/>
        <w:rPr>
          <w:rFonts w:hint="eastAsia" w:ascii="仿宋_GB2312" w:hAnsi="仿宋_GB2312" w:eastAsia="仿宋_GB2312" w:cs="仿宋_GB2312"/>
          <w:color w:val="444D55"/>
          <w:w w:val="99"/>
          <w:sz w:val="28"/>
          <w:szCs w:val="28"/>
        </w:rPr>
      </w:pPr>
    </w:p>
    <w:p>
      <w:pPr>
        <w:spacing w:line="300" w:lineRule="auto"/>
        <w:jc w:val="both"/>
        <w:rPr>
          <w:rFonts w:hint="eastAsia" w:ascii="仿宋_GB2312" w:hAnsi="仿宋_GB2312" w:eastAsia="仿宋_GB2312" w:cs="仿宋_GB2312"/>
          <w:b w:val="0"/>
          <w:bCs w:val="0"/>
          <w:sz w:val="28"/>
          <w:szCs w:val="28"/>
          <w:lang w:val="en-US" w:eastAsia="zh-CN" w:bidi="zh-CN"/>
        </w:rPr>
      </w:pPr>
      <w:r>
        <w:rPr>
          <w:rFonts w:hint="eastAsia" w:ascii="仿宋_GB2312" w:hAnsi="仿宋_GB2312" w:eastAsia="仿宋_GB2312" w:cs="仿宋_GB2312"/>
          <w:b w:val="0"/>
          <w:bCs w:val="0"/>
          <w:sz w:val="28"/>
          <w:szCs w:val="28"/>
          <w:lang w:val="zh-CN" w:eastAsia="zh-CN" w:bidi="zh-CN"/>
        </w:rPr>
        <w:t>（</w:t>
      </w:r>
      <w:r>
        <w:rPr>
          <w:rFonts w:hint="eastAsia" w:ascii="仿宋_GB2312" w:hAnsi="仿宋_GB2312" w:eastAsia="仿宋_GB2312" w:cs="仿宋_GB2312"/>
          <w:b w:val="0"/>
          <w:bCs w:val="0"/>
          <w:sz w:val="28"/>
          <w:szCs w:val="28"/>
          <w:lang w:val="en-US" w:eastAsia="zh-CN" w:bidi="zh-CN"/>
        </w:rPr>
        <w:t>二</w:t>
      </w:r>
      <w:r>
        <w:rPr>
          <w:rFonts w:hint="eastAsia" w:ascii="仿宋_GB2312" w:hAnsi="仿宋_GB2312" w:eastAsia="仿宋_GB2312" w:cs="仿宋_GB2312"/>
          <w:b w:val="0"/>
          <w:bCs w:val="0"/>
          <w:sz w:val="28"/>
          <w:szCs w:val="28"/>
          <w:lang w:val="zh-CN" w:eastAsia="zh-CN" w:bidi="zh-CN"/>
        </w:rPr>
        <w:t>）</w:t>
      </w:r>
      <w:r>
        <w:rPr>
          <w:rFonts w:hint="eastAsia" w:ascii="仿宋_GB2312" w:hAnsi="仿宋_GB2312" w:eastAsia="仿宋_GB2312" w:cs="仿宋_GB2312"/>
          <w:b w:val="0"/>
          <w:bCs w:val="0"/>
          <w:sz w:val="28"/>
          <w:szCs w:val="28"/>
          <w:lang w:val="en-US" w:eastAsia="zh-CN" w:bidi="zh-CN"/>
        </w:rPr>
        <w:t>企业管理方向</w:t>
      </w:r>
    </w:p>
    <w:tbl>
      <w:tblPr>
        <w:tblStyle w:val="8"/>
        <w:tblW w:w="4548" w:type="pct"/>
        <w:tblInd w:w="0" w:type="dxa"/>
        <w:tblLayout w:type="autofit"/>
        <w:tblCellMar>
          <w:top w:w="0" w:type="dxa"/>
          <w:left w:w="108" w:type="dxa"/>
          <w:bottom w:w="0" w:type="dxa"/>
          <w:right w:w="108" w:type="dxa"/>
        </w:tblCellMar>
      </w:tblPr>
      <w:tblGrid>
        <w:gridCol w:w="9065"/>
      </w:tblGrid>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sz w:val="28"/>
                <w:szCs w:val="28"/>
                <w:lang w:val="en-US" w:bidi="ar"/>
              </w:rPr>
            </w:pPr>
            <w:r>
              <w:rPr>
                <w:rFonts w:hint="eastAsia" w:ascii="仿宋_GB2312" w:hAnsi="仿宋_GB2312" w:eastAsia="仿宋_GB2312" w:cs="仿宋_GB2312"/>
                <w:color w:val="000000"/>
                <w:kern w:val="0"/>
                <w:sz w:val="28"/>
                <w:szCs w:val="28"/>
                <w:lang w:val="en-US" w:eastAsia="zh-CN" w:bidi="ar"/>
              </w:rPr>
              <w:t>新时代中国特色社会主义理论与实践</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bidi="ar"/>
              </w:rPr>
              <w:t>英语 I</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bidi="ar"/>
              </w:rPr>
              <w:t>研究生学术道德规范与论文写作指导</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bidi="ar"/>
              </w:rPr>
              <w:t>心理健康</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习近平新时代中国特色社会主义思想专题研究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企业战略研究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管理沟通（全英）</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管理研究方法</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供应链与运营管理</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人力资源管理研究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创新创业研究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消费者行为研究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零售管理研究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数字化管理</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现代科学技术概论</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组织行为学</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服务营销研究</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企业管理前沿理论讲座</w:t>
            </w:r>
          </w:p>
        </w:tc>
      </w:tr>
      <w:tr>
        <w:tblPrEx>
          <w:tblCellMar>
            <w:top w:w="0" w:type="dxa"/>
            <w:left w:w="108" w:type="dxa"/>
            <w:bottom w:w="0" w:type="dxa"/>
            <w:right w:w="108" w:type="dxa"/>
          </w:tblCellMar>
        </w:tblPrEx>
        <w:trPr>
          <w:trHeight w:val="28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数字经济与组织理论前沿</w:t>
            </w:r>
          </w:p>
        </w:tc>
      </w:tr>
    </w:tbl>
    <w:p>
      <w:pPr>
        <w:pStyle w:val="3"/>
        <w:spacing w:beforeAutospacing="0" w:afterAutospacing="0" w:line="360" w:lineRule="auto"/>
        <w:ind w:left="0" w:leftChars="0" w:firstLine="0" w:firstLineChars="0"/>
        <w:jc w:val="both"/>
        <w:rPr>
          <w:rFonts w:hint="eastAsia" w:ascii="仿宋_GB2312" w:hAnsi="仿宋_GB2312" w:eastAsia="仿宋_GB2312" w:cs="仿宋_GB2312"/>
          <w:color w:val="444D55"/>
          <w:sz w:val="32"/>
          <w:szCs w:val="32"/>
          <w:lang w:val="en-US" w:eastAsia="zh-CN"/>
        </w:rPr>
      </w:pPr>
    </w:p>
    <w:p>
      <w:pPr>
        <w:pStyle w:val="3"/>
        <w:spacing w:beforeAutospacing="0" w:afterAutospacing="0" w:line="360" w:lineRule="auto"/>
        <w:ind w:left="0" w:leftChars="0" w:firstLine="0" w:firstLineChars="0"/>
        <w:jc w:val="both"/>
        <w:rPr>
          <w:rFonts w:hint="eastAsia" w:ascii="仿宋_GB2312" w:hAnsi="仿宋_GB2312" w:eastAsia="仿宋_GB2312" w:cs="仿宋_GB2312"/>
          <w:color w:val="444D55"/>
          <w:sz w:val="32"/>
          <w:szCs w:val="32"/>
          <w:lang w:val="en-US" w:eastAsia="zh-CN"/>
        </w:rPr>
      </w:pPr>
      <w:r>
        <w:rPr>
          <w:rFonts w:hint="eastAsia" w:ascii="仿宋_GB2312" w:hAnsi="仿宋_GB2312" w:eastAsia="仿宋_GB2312" w:cs="仿宋_GB2312"/>
          <w:color w:val="444D55"/>
          <w:sz w:val="32"/>
          <w:szCs w:val="32"/>
          <w:lang w:val="en-US" w:eastAsia="zh-CN"/>
        </w:rPr>
        <w:t xml:space="preserve">四、教学方式 </w:t>
      </w:r>
    </w:p>
    <w:p>
      <w:pPr>
        <w:pStyle w:val="4"/>
        <w:spacing w:beforeAutospacing="0" w:line="360" w:lineRule="auto"/>
        <w:ind w:firstLine="560" w:firstLineChars="200"/>
        <w:jc w:val="both"/>
        <w:rPr>
          <w:rFonts w:hint="eastAsia" w:ascii="仿宋_GB2312" w:hAnsi="仿宋_GB2312" w:eastAsia="仿宋_GB2312" w:cs="仿宋_GB2312"/>
          <w:color w:val="4C4C4C"/>
          <w:sz w:val="28"/>
          <w:szCs w:val="28"/>
          <w:shd w:val="clear" w:color="auto" w:fill="FFFFFF"/>
        </w:rPr>
      </w:pPr>
      <w:r>
        <w:rPr>
          <w:rFonts w:hint="eastAsia" w:ascii="仿宋_GB2312" w:hAnsi="仿宋_GB2312" w:eastAsia="仿宋_GB2312" w:cs="仿宋_GB2312"/>
          <w:color w:val="4C4C4C"/>
          <w:sz w:val="28"/>
          <w:szCs w:val="28"/>
          <w:shd w:val="clear" w:color="auto" w:fill="FFFFFF"/>
          <w:lang w:val="en-US"/>
        </w:rPr>
        <w:t>本课程采用面</w:t>
      </w:r>
      <w:r>
        <w:rPr>
          <w:rFonts w:hint="eastAsia" w:ascii="仿宋_GB2312" w:hAnsi="仿宋_GB2312" w:eastAsia="仿宋_GB2312" w:cs="仿宋_GB2312"/>
          <w:color w:val="4C4C4C"/>
          <w:sz w:val="28"/>
          <w:szCs w:val="28"/>
          <w:shd w:val="clear" w:color="auto" w:fill="FFFFFF"/>
        </w:rPr>
        <w:t>授</w:t>
      </w:r>
      <w:r>
        <w:rPr>
          <w:rFonts w:hint="eastAsia" w:ascii="仿宋_GB2312" w:hAnsi="仿宋_GB2312" w:eastAsia="仿宋_GB2312" w:cs="仿宋_GB2312"/>
          <w:color w:val="4C4C4C"/>
          <w:sz w:val="28"/>
          <w:szCs w:val="28"/>
          <w:shd w:val="clear" w:color="auto" w:fill="FFFFFF"/>
          <w:lang w:val="en-US"/>
        </w:rPr>
        <w:t>与</w:t>
      </w:r>
      <w:r>
        <w:rPr>
          <w:rFonts w:hint="eastAsia" w:ascii="仿宋_GB2312" w:hAnsi="仿宋_GB2312" w:eastAsia="仿宋_GB2312" w:cs="仿宋_GB2312"/>
          <w:color w:val="4C4C4C"/>
          <w:sz w:val="28"/>
          <w:szCs w:val="28"/>
          <w:shd w:val="clear" w:color="auto" w:fill="FFFFFF"/>
        </w:rPr>
        <w:t>线上教学相结合的方式，依据教学课程大纲开展教学，（每月1-2个）周末上课（遇校内统一考试、寒暑假或节假日顺延）。</w:t>
      </w:r>
    </w:p>
    <w:p>
      <w:pPr>
        <w:spacing w:afterAutospacing="0" w:line="360" w:lineRule="auto"/>
        <w:ind w:firstLine="558" w:firstLineChars="200"/>
        <w:jc w:val="both"/>
        <w:rPr>
          <w:rFonts w:hint="eastAsia" w:ascii="仿宋_GB2312" w:hAnsi="仿宋_GB2312" w:eastAsia="仿宋_GB2312" w:cs="仿宋_GB2312"/>
          <w:b/>
          <w:color w:val="444D55"/>
          <w:spacing w:val="-1"/>
          <w:sz w:val="28"/>
          <w:szCs w:val="28"/>
        </w:rPr>
      </w:pPr>
    </w:p>
    <w:p>
      <w:pPr>
        <w:pStyle w:val="3"/>
        <w:spacing w:beforeAutospacing="0" w:line="360" w:lineRule="auto"/>
        <w:ind w:left="0" w:leftChars="0" w:firstLine="0" w:firstLineChars="0"/>
        <w:jc w:val="both"/>
        <w:rPr>
          <w:rFonts w:hint="eastAsia" w:ascii="仿宋_GB2312" w:hAnsi="仿宋_GB2312" w:eastAsia="仿宋_GB2312" w:cs="仿宋_GB2312"/>
          <w:color w:val="444D55"/>
          <w:sz w:val="32"/>
          <w:szCs w:val="32"/>
          <w:lang w:val="en-US" w:eastAsia="zh-CN"/>
        </w:rPr>
      </w:pPr>
      <w:r>
        <w:rPr>
          <w:rFonts w:hint="eastAsia" w:ascii="仿宋_GB2312" w:hAnsi="仿宋_GB2312" w:eastAsia="仿宋_GB2312" w:cs="仿宋_GB2312"/>
          <w:color w:val="444D55"/>
          <w:sz w:val="32"/>
          <w:szCs w:val="32"/>
          <w:lang w:val="en-US" w:eastAsia="zh-CN"/>
        </w:rPr>
        <w:t>五、学习期限</w:t>
      </w:r>
    </w:p>
    <w:p>
      <w:pPr>
        <w:spacing w:before="52" w:line="360" w:lineRule="auto"/>
        <w:ind w:right="110" w:firstLine="560" w:firstLineChars="200"/>
        <w:jc w:val="both"/>
        <w:rPr>
          <w:rFonts w:hint="eastAsia" w:ascii="仿宋_GB2312" w:hAnsi="仿宋_GB2312" w:eastAsia="仿宋_GB2312" w:cs="仿宋_GB2312"/>
          <w:color w:val="444D55"/>
          <w:spacing w:val="-3"/>
          <w:sz w:val="28"/>
          <w:szCs w:val="28"/>
          <w:lang w:val="en-US"/>
        </w:rPr>
      </w:pPr>
      <w:r>
        <w:rPr>
          <w:rFonts w:hint="eastAsia" w:ascii="仿宋_GB2312" w:hAnsi="仿宋_GB2312" w:eastAsia="仿宋_GB2312" w:cs="仿宋_GB2312"/>
          <w:color w:val="4C4C4C"/>
          <w:sz w:val="28"/>
          <w:szCs w:val="28"/>
          <w:shd w:val="clear" w:color="auto" w:fill="FFFFFF"/>
          <w:lang w:val="en-US"/>
        </w:rPr>
        <w:t>基本</w:t>
      </w:r>
      <w:r>
        <w:rPr>
          <w:rFonts w:hint="eastAsia" w:ascii="仿宋_GB2312" w:hAnsi="仿宋_GB2312" w:eastAsia="仿宋_GB2312" w:cs="仿宋_GB2312"/>
          <w:color w:val="4C4C4C"/>
          <w:sz w:val="28"/>
          <w:szCs w:val="28"/>
          <w:shd w:val="clear" w:color="auto" w:fill="FFFFFF"/>
        </w:rPr>
        <w:t>学习时间为</w:t>
      </w:r>
      <w:r>
        <w:rPr>
          <w:rFonts w:hint="eastAsia" w:ascii="仿宋_GB2312" w:hAnsi="仿宋_GB2312" w:eastAsia="仿宋_GB2312" w:cs="仿宋_GB2312"/>
          <w:color w:val="4C4C4C"/>
          <w:sz w:val="28"/>
          <w:szCs w:val="28"/>
          <w:shd w:val="clear" w:color="auto" w:fill="FFFFFF"/>
          <w:lang w:val="en-US"/>
        </w:rPr>
        <w:t xml:space="preserve"> 1.5-</w:t>
      </w:r>
      <w:r>
        <w:rPr>
          <w:rFonts w:hint="eastAsia" w:ascii="仿宋_GB2312" w:hAnsi="仿宋_GB2312" w:eastAsia="仿宋_GB2312" w:cs="仿宋_GB2312"/>
          <w:color w:val="444D55"/>
          <w:spacing w:val="-3"/>
          <w:sz w:val="28"/>
          <w:szCs w:val="28"/>
          <w:lang w:val="en-US"/>
        </w:rPr>
        <w:t>2年。</w:t>
      </w:r>
    </w:p>
    <w:p>
      <w:pPr>
        <w:spacing w:before="52" w:afterAutospacing="0" w:line="360" w:lineRule="auto"/>
        <w:ind w:right="110" w:firstLine="548" w:firstLineChars="200"/>
        <w:jc w:val="both"/>
        <w:rPr>
          <w:rFonts w:hint="eastAsia" w:ascii="仿宋_GB2312" w:hAnsi="仿宋_GB2312" w:eastAsia="仿宋_GB2312" w:cs="仿宋_GB2312"/>
          <w:color w:val="444D55"/>
          <w:spacing w:val="-3"/>
          <w:sz w:val="28"/>
          <w:szCs w:val="28"/>
          <w:lang w:val="en-US"/>
        </w:rPr>
      </w:pPr>
    </w:p>
    <w:p>
      <w:pPr>
        <w:pStyle w:val="3"/>
        <w:spacing w:beforeAutospacing="0" w:line="360" w:lineRule="auto"/>
        <w:ind w:left="0" w:leftChars="0" w:firstLine="0" w:firstLineChars="0"/>
        <w:jc w:val="both"/>
        <w:rPr>
          <w:rFonts w:hint="eastAsia" w:ascii="仿宋_GB2312" w:hAnsi="仿宋_GB2312" w:eastAsia="仿宋_GB2312" w:cs="仿宋_GB2312"/>
          <w:color w:val="444D55"/>
          <w:sz w:val="32"/>
          <w:szCs w:val="32"/>
          <w:lang w:val="en-US" w:eastAsia="zh-CN"/>
        </w:rPr>
      </w:pPr>
      <w:r>
        <w:rPr>
          <w:rFonts w:hint="eastAsia" w:ascii="仿宋_GB2312" w:hAnsi="仿宋_GB2312" w:eastAsia="仿宋_GB2312" w:cs="仿宋_GB2312"/>
          <w:color w:val="444D55"/>
          <w:sz w:val="32"/>
          <w:szCs w:val="32"/>
          <w:lang w:val="en-US" w:eastAsia="zh-CN"/>
        </w:rPr>
        <w:t xml:space="preserve">六、报名条件 </w:t>
      </w:r>
    </w:p>
    <w:p>
      <w:pPr>
        <w:tabs>
          <w:tab w:val="left" w:pos="473"/>
        </w:tabs>
        <w:spacing w:line="360" w:lineRule="auto"/>
        <w:ind w:left="220" w:leftChars="100" w:right="332" w:firstLine="274" w:firstLineChars="100"/>
        <w:jc w:val="both"/>
        <w:rPr>
          <w:rFonts w:hint="eastAsia" w:ascii="仿宋_GB2312" w:hAnsi="仿宋_GB2312" w:eastAsia="仿宋_GB2312" w:cs="仿宋_GB2312"/>
          <w:sz w:val="28"/>
          <w:szCs w:val="28"/>
        </w:rPr>
      </w:pPr>
      <w:r>
        <w:rPr>
          <w:rFonts w:hint="eastAsia" w:ascii="仿宋_GB2312" w:hAnsi="仿宋_GB2312" w:eastAsia="仿宋_GB2312" w:cs="仿宋_GB2312"/>
          <w:color w:val="444D55"/>
          <w:spacing w:val="-3"/>
          <w:sz w:val="28"/>
          <w:szCs w:val="28"/>
        </w:rPr>
        <w:t>1.拥护《中华人民共和国宪法》，遵纪守法，品行端正，身体健康，并能坚持在职学习者。</w:t>
      </w:r>
    </w:p>
    <w:p>
      <w:pPr>
        <w:tabs>
          <w:tab w:val="left" w:pos="473"/>
        </w:tabs>
        <w:spacing w:line="360" w:lineRule="auto"/>
        <w:ind w:left="220" w:firstLine="265" w:firstLineChars="97"/>
        <w:jc w:val="both"/>
        <w:rPr>
          <w:rFonts w:hint="eastAsia" w:ascii="仿宋_GB2312" w:hAnsi="仿宋_GB2312" w:eastAsia="仿宋_GB2312" w:cs="仿宋_GB2312"/>
          <w:color w:val="444D55"/>
          <w:sz w:val="28"/>
          <w:szCs w:val="28"/>
        </w:rPr>
      </w:pPr>
      <w:r>
        <w:rPr>
          <w:rFonts w:hint="eastAsia" w:ascii="仿宋_GB2312" w:hAnsi="仿宋_GB2312" w:eastAsia="仿宋_GB2312" w:cs="仿宋_GB2312"/>
          <w:color w:val="444D55"/>
          <w:spacing w:val="-3"/>
          <w:sz w:val="28"/>
          <w:szCs w:val="28"/>
          <w:lang w:val="en-US"/>
        </w:rPr>
        <w:t>2.大学专科及</w:t>
      </w:r>
      <w:r>
        <w:rPr>
          <w:rFonts w:hint="eastAsia" w:ascii="仿宋_GB2312" w:hAnsi="仿宋_GB2312" w:eastAsia="仿宋_GB2312" w:cs="仿宋_GB2312"/>
          <w:color w:val="444D55"/>
          <w:spacing w:val="-3"/>
          <w:sz w:val="28"/>
          <w:szCs w:val="28"/>
        </w:rPr>
        <w:t>以上学历，</w:t>
      </w:r>
      <w:r>
        <w:rPr>
          <w:rFonts w:hint="eastAsia" w:ascii="仿宋_GB2312" w:hAnsi="仿宋_GB2312" w:eastAsia="仿宋_GB2312" w:cs="仿宋_GB2312"/>
          <w:color w:val="4C4C4C"/>
          <w:sz w:val="28"/>
          <w:szCs w:val="28"/>
          <w:shd w:val="clear" w:color="auto" w:fill="FFFFFF"/>
        </w:rPr>
        <w:t>旨在提高本人业务素质和综合能力，具有一定</w:t>
      </w:r>
      <w:r>
        <w:rPr>
          <w:rFonts w:hint="eastAsia" w:ascii="仿宋_GB2312" w:hAnsi="仿宋_GB2312" w:eastAsia="仿宋_GB2312" w:cs="仿宋_GB2312"/>
          <w:color w:val="4C4C4C"/>
          <w:sz w:val="28"/>
          <w:szCs w:val="28"/>
          <w:shd w:val="clear" w:color="auto" w:fill="FFFFFF"/>
          <w:lang w:val="en-US"/>
        </w:rPr>
        <w:t>本专业工作基础及学习能力</w:t>
      </w:r>
      <w:r>
        <w:rPr>
          <w:rFonts w:hint="eastAsia" w:ascii="仿宋_GB2312" w:hAnsi="仿宋_GB2312" w:eastAsia="仿宋_GB2312" w:cs="仿宋_GB2312"/>
          <w:color w:val="4C4C4C"/>
          <w:sz w:val="28"/>
          <w:szCs w:val="28"/>
          <w:shd w:val="clear" w:color="auto" w:fill="FFFFFF"/>
        </w:rPr>
        <w:t>，可参加</w:t>
      </w:r>
      <w:r>
        <w:rPr>
          <w:rFonts w:hint="eastAsia" w:ascii="仿宋_GB2312" w:hAnsi="仿宋_GB2312" w:eastAsia="仿宋_GB2312" w:cs="仿宋_GB2312"/>
          <w:color w:val="4C4C4C"/>
          <w:sz w:val="28"/>
          <w:szCs w:val="28"/>
          <w:shd w:val="clear" w:color="auto" w:fill="FFFFFF"/>
          <w:lang w:val="en-US"/>
        </w:rPr>
        <w:t>高级研修</w:t>
      </w:r>
      <w:r>
        <w:rPr>
          <w:rFonts w:hint="eastAsia" w:ascii="仿宋_GB2312" w:hAnsi="仿宋_GB2312" w:eastAsia="仿宋_GB2312" w:cs="仿宋_GB2312"/>
          <w:color w:val="4C4C4C"/>
          <w:sz w:val="28"/>
          <w:szCs w:val="28"/>
          <w:shd w:val="clear" w:color="auto" w:fill="FFFFFF"/>
        </w:rPr>
        <w:t>班的学习</w:t>
      </w:r>
      <w:r>
        <w:rPr>
          <w:rFonts w:hint="eastAsia" w:ascii="仿宋_GB2312" w:hAnsi="仿宋_GB2312" w:eastAsia="仿宋_GB2312" w:cs="仿宋_GB2312"/>
          <w:color w:val="444D55"/>
          <w:spacing w:val="-3"/>
          <w:sz w:val="28"/>
          <w:szCs w:val="28"/>
        </w:rPr>
        <w:t>。</w:t>
      </w:r>
      <w:r>
        <w:rPr>
          <w:rFonts w:hint="eastAsia" w:ascii="仿宋_GB2312" w:hAnsi="仿宋_GB2312" w:eastAsia="仿宋_GB2312" w:cs="仿宋_GB2312"/>
          <w:color w:val="444D55"/>
          <w:sz w:val="28"/>
          <w:szCs w:val="28"/>
        </w:rPr>
        <w:t xml:space="preserve"> </w:t>
      </w:r>
    </w:p>
    <w:p>
      <w:pPr>
        <w:tabs>
          <w:tab w:val="left" w:pos="473"/>
        </w:tabs>
        <w:spacing w:afterAutospacing="0" w:line="360" w:lineRule="auto"/>
        <w:ind w:left="220" w:firstLine="271" w:firstLineChars="97"/>
        <w:jc w:val="both"/>
        <w:rPr>
          <w:rFonts w:hint="eastAsia" w:ascii="仿宋_GB2312" w:hAnsi="仿宋_GB2312" w:eastAsia="仿宋_GB2312" w:cs="仿宋_GB2312"/>
          <w:color w:val="444D55"/>
          <w:sz w:val="28"/>
          <w:szCs w:val="28"/>
        </w:rPr>
      </w:pPr>
    </w:p>
    <w:p>
      <w:pPr>
        <w:pStyle w:val="3"/>
        <w:spacing w:beforeAutospacing="0" w:line="360" w:lineRule="auto"/>
        <w:ind w:left="0" w:leftChars="0" w:firstLine="0" w:firstLineChars="0"/>
        <w:jc w:val="both"/>
        <w:rPr>
          <w:rFonts w:hint="eastAsia" w:ascii="仿宋_GB2312" w:hAnsi="仿宋_GB2312" w:eastAsia="仿宋_GB2312" w:cs="仿宋_GB2312"/>
          <w:color w:val="444D55"/>
          <w:sz w:val="32"/>
          <w:szCs w:val="32"/>
          <w:lang w:val="en-US" w:eastAsia="zh-CN"/>
        </w:rPr>
      </w:pPr>
      <w:r>
        <w:rPr>
          <w:rFonts w:hint="eastAsia" w:ascii="仿宋_GB2312" w:hAnsi="仿宋_GB2312" w:eastAsia="仿宋_GB2312" w:cs="仿宋_GB2312"/>
          <w:color w:val="444D55"/>
          <w:sz w:val="32"/>
          <w:szCs w:val="32"/>
          <w:lang w:val="en-US" w:eastAsia="zh-CN"/>
        </w:rPr>
        <w:t>七、报名流程和联系方式</w:t>
      </w:r>
    </w:p>
    <w:p>
      <w:pPr>
        <w:tabs>
          <w:tab w:val="left" w:pos="312"/>
        </w:tabs>
        <w:spacing w:line="360" w:lineRule="auto"/>
        <w:ind w:left="740" w:right="330"/>
        <w:jc w:val="both"/>
        <w:rPr>
          <w:rFonts w:hint="eastAsia" w:ascii="仿宋_GB2312" w:hAnsi="仿宋_GB2312" w:eastAsia="仿宋_GB2312" w:cs="仿宋_GB2312"/>
          <w:color w:val="444D55"/>
          <w:sz w:val="28"/>
          <w:szCs w:val="28"/>
        </w:rPr>
      </w:pPr>
      <w:r>
        <w:rPr>
          <w:rFonts w:hint="eastAsia" w:ascii="仿宋_GB2312" w:hAnsi="仿宋_GB2312" w:eastAsia="仿宋_GB2312" w:cs="仿宋_GB2312"/>
          <w:color w:val="444D55"/>
          <w:sz w:val="28"/>
          <w:szCs w:val="28"/>
        </w:rPr>
        <w:t>1.报名需提交的材料</w:t>
      </w:r>
    </w:p>
    <w:p>
      <w:pPr>
        <w:pStyle w:val="12"/>
        <w:tabs>
          <w:tab w:val="left" w:pos="790"/>
        </w:tabs>
        <w:spacing w:before="0" w:line="360" w:lineRule="auto"/>
        <w:ind w:left="749" w:firstLine="0"/>
        <w:jc w:val="both"/>
        <w:rPr>
          <w:rFonts w:hint="eastAsia" w:ascii="仿宋_GB2312" w:hAnsi="仿宋_GB2312" w:eastAsia="仿宋_GB2312" w:cs="仿宋_GB2312"/>
          <w:color w:val="444D55"/>
          <w:spacing w:val="-3"/>
          <w:sz w:val="28"/>
          <w:szCs w:val="28"/>
          <w:lang w:val="en-US"/>
        </w:rPr>
      </w:pPr>
      <w:r>
        <w:rPr>
          <w:rFonts w:hint="eastAsia" w:ascii="仿宋_GB2312" w:hAnsi="仿宋_GB2312" w:eastAsia="仿宋_GB2312" w:cs="仿宋_GB2312"/>
          <w:color w:val="444D55"/>
          <w:spacing w:val="-3"/>
          <w:sz w:val="28"/>
          <w:szCs w:val="28"/>
          <w:lang w:val="en-US"/>
        </w:rPr>
        <w:t>（1）联系招生老师获取《研修班入学</w:t>
      </w:r>
      <w:r>
        <w:rPr>
          <w:rFonts w:hint="eastAsia" w:ascii="仿宋_GB2312" w:hAnsi="仿宋_GB2312" w:eastAsia="仿宋_GB2312" w:cs="仿宋_GB2312"/>
          <w:color w:val="444D55"/>
          <w:spacing w:val="-3"/>
          <w:sz w:val="28"/>
          <w:szCs w:val="28"/>
        </w:rPr>
        <w:t>登记表</w:t>
      </w:r>
      <w:r>
        <w:rPr>
          <w:rFonts w:hint="eastAsia" w:ascii="仿宋_GB2312" w:hAnsi="仿宋_GB2312" w:eastAsia="仿宋_GB2312" w:cs="仿宋_GB2312"/>
          <w:color w:val="444D55"/>
          <w:spacing w:val="-3"/>
          <w:sz w:val="28"/>
          <w:szCs w:val="28"/>
          <w:lang w:val="en-US"/>
        </w:rPr>
        <w:t>》</w:t>
      </w:r>
    </w:p>
    <w:p>
      <w:pPr>
        <w:pStyle w:val="12"/>
        <w:tabs>
          <w:tab w:val="left" w:pos="790"/>
        </w:tabs>
        <w:spacing w:before="0" w:line="360" w:lineRule="auto"/>
        <w:ind w:left="749" w:firstLine="0"/>
        <w:jc w:val="both"/>
        <w:rPr>
          <w:rFonts w:hint="eastAsia" w:ascii="仿宋_GB2312" w:hAnsi="仿宋_GB2312" w:eastAsia="仿宋_GB2312" w:cs="仿宋_GB2312"/>
          <w:sz w:val="28"/>
          <w:szCs w:val="28"/>
        </w:rPr>
      </w:pPr>
      <w:r>
        <w:rPr>
          <w:rFonts w:hint="eastAsia" w:ascii="仿宋_GB2312" w:hAnsi="仿宋_GB2312" w:eastAsia="仿宋_GB2312" w:cs="仿宋_GB2312"/>
          <w:color w:val="444D55"/>
          <w:spacing w:val="-3"/>
          <w:sz w:val="28"/>
          <w:szCs w:val="28"/>
          <w:lang w:val="en-US"/>
        </w:rPr>
        <w:t>（2）</w:t>
      </w:r>
      <w:r>
        <w:rPr>
          <w:rFonts w:hint="eastAsia" w:ascii="仿宋_GB2312" w:hAnsi="仿宋_GB2312" w:eastAsia="仿宋_GB2312" w:cs="仿宋_GB2312"/>
          <w:color w:val="444D55"/>
          <w:spacing w:val="-3"/>
          <w:sz w:val="28"/>
          <w:szCs w:val="28"/>
        </w:rPr>
        <w:t>提交身份证、最高学历、学位证书复印件</w:t>
      </w:r>
    </w:p>
    <w:p>
      <w:pPr>
        <w:spacing w:line="360" w:lineRule="auto"/>
        <w:ind w:left="260" w:right="330" w:firstLine="560" w:firstLineChars="200"/>
        <w:jc w:val="both"/>
        <w:rPr>
          <w:rFonts w:hint="eastAsia" w:ascii="仿宋_GB2312" w:hAnsi="仿宋_GB2312" w:eastAsia="仿宋_GB2312" w:cs="仿宋_GB2312"/>
          <w:color w:val="444D55"/>
          <w:sz w:val="28"/>
          <w:szCs w:val="28"/>
          <w:lang w:val="en-US"/>
        </w:rPr>
      </w:pPr>
      <w:r>
        <w:rPr>
          <w:rFonts w:hint="eastAsia" w:ascii="仿宋_GB2312" w:hAnsi="仿宋_GB2312" w:eastAsia="仿宋_GB2312" w:cs="仿宋_GB2312"/>
          <w:color w:val="444D55"/>
          <w:sz w:val="28"/>
          <w:szCs w:val="28"/>
          <w:lang w:val="en-US"/>
        </w:rPr>
        <w:t>2.报名地点：</w:t>
      </w:r>
      <w:r>
        <w:rPr>
          <w:rFonts w:hint="eastAsia" w:ascii="仿宋_GB2312" w:hAnsi="仿宋_GB2312" w:eastAsia="仿宋_GB2312" w:cs="仿宋_GB2312"/>
          <w:color w:val="333333"/>
          <w:sz w:val="28"/>
          <w:szCs w:val="28"/>
          <w:lang w:val="en-US"/>
        </w:rPr>
        <w:t>北京工商大学继续教育学院非学历培训办公室（可采取线上报名）</w:t>
      </w:r>
    </w:p>
    <w:p>
      <w:pPr>
        <w:spacing w:line="360" w:lineRule="auto"/>
        <w:ind w:left="260" w:right="330" w:firstLine="560" w:firstLineChars="200"/>
        <w:jc w:val="both"/>
        <w:rPr>
          <w:rFonts w:hint="eastAsia" w:ascii="仿宋_GB2312" w:hAnsi="仿宋_GB2312" w:eastAsia="仿宋_GB2312" w:cs="仿宋_GB2312"/>
          <w:color w:val="444D55"/>
          <w:sz w:val="28"/>
          <w:szCs w:val="28"/>
          <w:lang w:val="en-US"/>
        </w:rPr>
      </w:pPr>
      <w:r>
        <w:rPr>
          <w:rFonts w:hint="eastAsia" w:ascii="仿宋_GB2312" w:hAnsi="仿宋_GB2312" w:eastAsia="仿宋_GB2312" w:cs="仿宋_GB2312"/>
          <w:color w:val="444D55"/>
          <w:sz w:val="28"/>
          <w:szCs w:val="28"/>
          <w:lang w:val="en-US"/>
        </w:rPr>
        <w:t>3.联系方式：（010）68984831  张老师</w:t>
      </w:r>
    </w:p>
    <w:p>
      <w:pPr>
        <w:spacing w:line="360" w:lineRule="auto"/>
        <w:ind w:left="260" w:right="330" w:firstLine="560" w:firstLineChars="200"/>
        <w:jc w:val="both"/>
        <w:rPr>
          <w:rFonts w:hint="eastAsia" w:ascii="仿宋_GB2312" w:hAnsi="仿宋_GB2312" w:eastAsia="仿宋_GB2312" w:cs="仿宋_GB2312"/>
          <w:color w:val="444D55"/>
          <w:sz w:val="28"/>
          <w:szCs w:val="28"/>
          <w:lang w:val="en-US"/>
        </w:rPr>
      </w:pPr>
    </w:p>
    <w:p>
      <w:pPr>
        <w:numPr>
          <w:ilvl w:val="0"/>
          <w:numId w:val="0"/>
        </w:numPr>
        <w:spacing w:before="52" w:line="360" w:lineRule="auto"/>
        <w:ind w:leftChars="200" w:right="110" w:rightChars="0"/>
        <w:jc w:val="both"/>
        <w:rPr>
          <w:rFonts w:hint="eastAsia" w:ascii="仿宋_GB2312" w:hAnsi="仿宋_GB2312" w:eastAsia="仿宋_GB2312" w:cs="仿宋_GB2312"/>
          <w:b/>
          <w:color w:val="444D55"/>
          <w:sz w:val="32"/>
          <w:szCs w:val="32"/>
        </w:rPr>
      </w:pPr>
      <w:r>
        <w:rPr>
          <w:rFonts w:hint="eastAsia" w:ascii="仿宋_GB2312" w:hAnsi="仿宋_GB2312" w:eastAsia="仿宋_GB2312" w:cs="仿宋_GB2312"/>
          <w:b/>
          <w:color w:val="444D55"/>
          <w:sz w:val="32"/>
          <w:szCs w:val="32"/>
          <w:lang w:val="en-US" w:eastAsia="zh-CN"/>
        </w:rPr>
        <w:t>八、</w:t>
      </w:r>
      <w:r>
        <w:rPr>
          <w:rFonts w:hint="eastAsia" w:ascii="仿宋_GB2312" w:hAnsi="仿宋_GB2312" w:eastAsia="仿宋_GB2312" w:cs="仿宋_GB2312"/>
          <w:b/>
          <w:color w:val="444D55"/>
          <w:sz w:val="32"/>
          <w:szCs w:val="32"/>
        </w:rPr>
        <w:t>收费标准</w:t>
      </w:r>
    </w:p>
    <w:p>
      <w:pPr>
        <w:pStyle w:val="12"/>
        <w:numPr>
          <w:ilvl w:val="0"/>
          <w:numId w:val="2"/>
        </w:numPr>
        <w:spacing w:before="52" w:line="360" w:lineRule="auto"/>
        <w:ind w:right="11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学费2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US"/>
        </w:rPr>
        <w:t>000</w:t>
      </w:r>
      <w:r>
        <w:rPr>
          <w:rFonts w:hint="eastAsia" w:ascii="仿宋_GB2312" w:hAnsi="仿宋_GB2312" w:eastAsia="仿宋_GB2312" w:cs="仿宋_GB2312"/>
          <w:sz w:val="28"/>
          <w:szCs w:val="28"/>
          <w:lang w:val="en-US" w:eastAsia="zh-CN"/>
        </w:rPr>
        <w:t>元/人</w:t>
      </w:r>
      <w:r>
        <w:rPr>
          <w:rFonts w:hint="eastAsia" w:ascii="仿宋_GB2312" w:hAnsi="仿宋_GB2312" w:eastAsia="仿宋_GB2312" w:cs="仿宋_GB2312"/>
          <w:sz w:val="28"/>
          <w:szCs w:val="28"/>
          <w:lang w:val="en-US"/>
        </w:rPr>
        <w:t>。</w:t>
      </w:r>
    </w:p>
    <w:p>
      <w:pPr>
        <w:pStyle w:val="12"/>
        <w:numPr>
          <w:ilvl w:val="0"/>
          <w:numId w:val="2"/>
        </w:numPr>
        <w:spacing w:before="52" w:afterAutospacing="0" w:line="360" w:lineRule="auto"/>
        <w:ind w:right="11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申请参加论文指导及答辩等费用，另按北京工商大学相关规定执行。</w:t>
      </w:r>
    </w:p>
    <w:p>
      <w:pPr>
        <w:spacing w:beforeAutospacing="0" w:afterAutospacing="0" w:line="360" w:lineRule="auto"/>
        <w:ind w:left="260" w:right="110" w:firstLine="560" w:firstLineChars="200"/>
        <w:jc w:val="both"/>
        <w:rPr>
          <w:rFonts w:hint="eastAsia" w:ascii="仿宋_GB2312" w:hAnsi="仿宋_GB2312" w:eastAsia="仿宋_GB2312" w:cs="仿宋_GB2312"/>
          <w:sz w:val="28"/>
          <w:szCs w:val="28"/>
          <w:lang w:val="en-US"/>
        </w:rPr>
      </w:pPr>
    </w:p>
    <w:p>
      <w:pPr>
        <w:pStyle w:val="3"/>
        <w:numPr>
          <w:ilvl w:val="0"/>
          <w:numId w:val="0"/>
        </w:numPr>
        <w:spacing w:beforeAutospacing="0" w:line="360" w:lineRule="auto"/>
        <w:ind w:leftChars="200"/>
        <w:jc w:val="both"/>
        <w:rPr>
          <w:rFonts w:hint="eastAsia" w:ascii="仿宋_GB2312" w:hAnsi="仿宋_GB2312" w:eastAsia="仿宋_GB2312" w:cs="仿宋_GB2312"/>
          <w:color w:val="444D55"/>
          <w:w w:val="99"/>
          <w:sz w:val="32"/>
          <w:szCs w:val="32"/>
        </w:rPr>
      </w:pPr>
      <w:r>
        <w:rPr>
          <w:rFonts w:hint="eastAsia" w:ascii="仿宋_GB2312" w:hAnsi="仿宋_GB2312" w:eastAsia="仿宋_GB2312" w:cs="仿宋_GB2312"/>
          <w:color w:val="444D55"/>
          <w:sz w:val="32"/>
          <w:szCs w:val="32"/>
          <w:lang w:val="en-US" w:eastAsia="zh-CN"/>
        </w:rPr>
        <w:t>九、</w:t>
      </w:r>
      <w:r>
        <w:rPr>
          <w:rFonts w:hint="eastAsia" w:ascii="仿宋_GB2312" w:hAnsi="仿宋_GB2312" w:eastAsia="仿宋_GB2312" w:cs="仿宋_GB2312"/>
          <w:color w:val="444D55"/>
          <w:sz w:val="32"/>
          <w:szCs w:val="32"/>
        </w:rPr>
        <w:t>缴费方式</w:t>
      </w:r>
      <w:r>
        <w:rPr>
          <w:rFonts w:hint="eastAsia" w:ascii="仿宋_GB2312" w:hAnsi="仿宋_GB2312" w:eastAsia="仿宋_GB2312" w:cs="仿宋_GB2312"/>
          <w:color w:val="444D55"/>
          <w:w w:val="99"/>
          <w:sz w:val="32"/>
          <w:szCs w:val="32"/>
        </w:rPr>
        <w:t xml:space="preserve"> </w:t>
      </w:r>
    </w:p>
    <w:p>
      <w:pPr>
        <w:spacing w:line="300" w:lineRule="auto"/>
        <w:ind w:left="718"/>
        <w:jc w:val="both"/>
        <w:rPr>
          <w:rFonts w:hint="eastAsia" w:ascii="仿宋_GB2312" w:hAnsi="仿宋_GB2312" w:eastAsia="仿宋_GB2312" w:cs="仿宋_GB2312"/>
          <w:color w:val="444D55"/>
          <w:sz w:val="28"/>
          <w:szCs w:val="28"/>
          <w:highlight w:val="none"/>
          <w:lang w:val="en-US"/>
        </w:rPr>
      </w:pPr>
      <w:r>
        <w:rPr>
          <w:rFonts w:hint="eastAsia" w:ascii="仿宋_GB2312" w:hAnsi="仿宋_GB2312" w:eastAsia="仿宋_GB2312" w:cs="仿宋_GB2312"/>
          <w:color w:val="444D55"/>
          <w:sz w:val="28"/>
          <w:szCs w:val="28"/>
          <w:highlight w:val="none"/>
          <w:lang w:val="en-US"/>
        </w:rPr>
        <w:t>通过银行汇款缴纳至北京工商大学</w:t>
      </w:r>
      <w:r>
        <w:rPr>
          <w:rFonts w:hint="eastAsia" w:ascii="仿宋_GB2312" w:hAnsi="仿宋_GB2312" w:eastAsia="仿宋_GB2312" w:cs="仿宋_GB2312"/>
          <w:color w:val="444D55"/>
          <w:sz w:val="28"/>
          <w:szCs w:val="28"/>
          <w:highlight w:val="none"/>
          <w:lang w:val="en-US" w:eastAsia="zh-CN"/>
        </w:rPr>
        <w:t>教育培训中心</w:t>
      </w:r>
      <w:r>
        <w:rPr>
          <w:rFonts w:hint="eastAsia" w:ascii="仿宋_GB2312" w:hAnsi="仿宋_GB2312" w:eastAsia="仿宋_GB2312" w:cs="仿宋_GB2312"/>
          <w:color w:val="444D55"/>
          <w:sz w:val="28"/>
          <w:szCs w:val="28"/>
          <w:highlight w:val="none"/>
          <w:lang w:val="en-US"/>
        </w:rPr>
        <w:t>对公账户</w:t>
      </w:r>
    </w:p>
    <w:p>
      <w:pPr>
        <w:spacing w:line="300" w:lineRule="auto"/>
        <w:ind w:left="718"/>
        <w:jc w:val="both"/>
        <w:rPr>
          <w:rFonts w:hint="eastAsia" w:ascii="仿宋_GB2312" w:hAnsi="仿宋_GB2312" w:eastAsia="仿宋_GB2312" w:cs="仿宋_GB2312"/>
          <w:color w:val="444D55"/>
          <w:sz w:val="28"/>
          <w:szCs w:val="28"/>
          <w:highlight w:val="none"/>
          <w:lang w:val="en-US"/>
        </w:rPr>
      </w:pPr>
      <w:r>
        <w:rPr>
          <w:rFonts w:hint="eastAsia" w:ascii="仿宋_GB2312" w:hAnsi="仿宋_GB2312" w:eastAsia="仿宋_GB2312" w:cs="仿宋_GB2312"/>
          <w:color w:val="444D55"/>
          <w:sz w:val="28"/>
          <w:szCs w:val="28"/>
          <w:highlight w:val="none"/>
          <w:lang w:val="en-US"/>
        </w:rPr>
        <w:t>户名：北京工商大学教育培训中心</w:t>
      </w:r>
    </w:p>
    <w:p>
      <w:pPr>
        <w:spacing w:line="300" w:lineRule="auto"/>
        <w:ind w:left="718"/>
        <w:jc w:val="both"/>
        <w:rPr>
          <w:rFonts w:hint="eastAsia" w:ascii="仿宋_GB2312" w:hAnsi="仿宋_GB2312" w:eastAsia="仿宋_GB2312" w:cs="仿宋_GB2312"/>
          <w:color w:val="444D55"/>
          <w:sz w:val="28"/>
          <w:szCs w:val="28"/>
          <w:highlight w:val="none"/>
          <w:lang w:val="en-US"/>
        </w:rPr>
      </w:pPr>
      <w:r>
        <w:rPr>
          <w:rFonts w:hint="eastAsia" w:ascii="仿宋_GB2312" w:hAnsi="仿宋_GB2312" w:eastAsia="仿宋_GB2312" w:cs="仿宋_GB2312"/>
          <w:color w:val="444D55"/>
          <w:sz w:val="28"/>
          <w:szCs w:val="28"/>
          <w:highlight w:val="none"/>
          <w:lang w:val="en-US"/>
        </w:rPr>
        <w:t>账号：32290188000086652</w:t>
      </w:r>
    </w:p>
    <w:p>
      <w:pPr>
        <w:spacing w:line="300" w:lineRule="auto"/>
        <w:ind w:left="718"/>
        <w:jc w:val="both"/>
        <w:rPr>
          <w:rFonts w:hint="eastAsia" w:ascii="仿宋_GB2312" w:hAnsi="仿宋_GB2312" w:eastAsia="仿宋_GB2312" w:cs="仿宋_GB2312"/>
          <w:color w:val="444D55"/>
          <w:sz w:val="28"/>
          <w:szCs w:val="28"/>
          <w:highlight w:val="none"/>
          <w:lang w:val="en-US"/>
        </w:rPr>
      </w:pPr>
      <w:r>
        <w:rPr>
          <w:rFonts w:hint="eastAsia" w:ascii="仿宋_GB2312" w:hAnsi="仿宋_GB2312" w:eastAsia="仿宋_GB2312" w:cs="仿宋_GB2312"/>
          <w:color w:val="444D55"/>
          <w:sz w:val="28"/>
          <w:szCs w:val="28"/>
          <w:highlight w:val="none"/>
          <w:lang w:val="en-US"/>
        </w:rPr>
        <w:t>开户行：江苏银行股份有限公司北京石景山支行</w:t>
      </w:r>
    </w:p>
    <w:p>
      <w:pPr>
        <w:spacing w:afterAutospacing="0" w:line="360" w:lineRule="auto"/>
        <w:ind w:left="260" w:firstLine="560" w:firstLineChars="200"/>
        <w:jc w:val="both"/>
        <w:rPr>
          <w:rFonts w:hint="eastAsia" w:ascii="仿宋_GB2312" w:hAnsi="仿宋_GB2312" w:eastAsia="仿宋_GB2312" w:cs="仿宋_GB2312"/>
          <w:sz w:val="28"/>
          <w:szCs w:val="28"/>
        </w:rPr>
      </w:pPr>
    </w:p>
    <w:p>
      <w:pPr>
        <w:pStyle w:val="3"/>
        <w:numPr>
          <w:ilvl w:val="0"/>
          <w:numId w:val="0"/>
        </w:numPr>
        <w:spacing w:beforeAutospacing="0" w:afterAutospacing="0" w:line="360" w:lineRule="auto"/>
        <w:ind w:leftChars="200"/>
        <w:jc w:val="both"/>
        <w:rPr>
          <w:rFonts w:hint="eastAsia" w:ascii="仿宋_GB2312" w:hAnsi="仿宋_GB2312" w:eastAsia="仿宋_GB2312" w:cs="仿宋_GB2312"/>
          <w:color w:val="444D55"/>
          <w:sz w:val="32"/>
          <w:szCs w:val="32"/>
          <w:lang w:val="en-US" w:eastAsia="zh-CN"/>
        </w:rPr>
      </w:pPr>
      <w:r>
        <w:rPr>
          <w:rFonts w:hint="eastAsia" w:ascii="仿宋_GB2312" w:hAnsi="仿宋_GB2312" w:eastAsia="仿宋_GB2312" w:cs="仿宋_GB2312"/>
          <w:color w:val="444D55"/>
          <w:sz w:val="32"/>
          <w:szCs w:val="32"/>
          <w:lang w:val="en-US" w:eastAsia="zh-CN"/>
        </w:rPr>
        <w:t xml:space="preserve">十、证书 </w:t>
      </w:r>
    </w:p>
    <w:p>
      <w:pPr>
        <w:pStyle w:val="4"/>
        <w:spacing w:beforeAutospacing="0" w:line="360" w:lineRule="auto"/>
        <w:ind w:left="260" w:firstLine="560" w:firstLineChars="200"/>
        <w:jc w:val="both"/>
        <w:rPr>
          <w:rFonts w:hint="eastAsia" w:ascii="仿宋_GB2312" w:hAnsi="仿宋_GB2312" w:eastAsia="仿宋_GB2312" w:cs="仿宋_GB2312"/>
          <w:sz w:val="28"/>
          <w:szCs w:val="28"/>
          <w:lang w:val="en-US" w:bidi="ar"/>
        </w:rPr>
      </w:pPr>
      <w:r>
        <w:rPr>
          <w:rFonts w:hint="eastAsia" w:ascii="仿宋_GB2312" w:hAnsi="仿宋_GB2312" w:eastAsia="仿宋_GB2312" w:cs="仿宋_GB2312"/>
          <w:color w:val="444D55"/>
          <w:sz w:val="28"/>
          <w:szCs w:val="28"/>
        </w:rPr>
        <w:t>完成培训班规定课程学习，经考核合格者，由北京工商大学教育培训中心颁发在职课程培训班结业证书。。</w:t>
      </w:r>
    </w:p>
    <w:sectPr>
      <w:footerReference r:id="rId3" w:type="default"/>
      <w:pgSz w:w="11910" w:h="16840"/>
      <w:pgMar w:top="1440" w:right="1080" w:bottom="144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25E0F0C5-816C-4D94-8D6C-003AEFFE28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0BCFD"/>
    <w:multiLevelType w:val="singleLevel"/>
    <w:tmpl w:val="CF30BCFD"/>
    <w:lvl w:ilvl="0" w:tentative="0">
      <w:start w:val="3"/>
      <w:numFmt w:val="chineseCounting"/>
      <w:suff w:val="nothing"/>
      <w:lvlText w:val="%1、"/>
      <w:lvlJc w:val="left"/>
      <w:rPr>
        <w:rFonts w:hint="eastAsia"/>
      </w:rPr>
    </w:lvl>
  </w:abstractNum>
  <w:abstractNum w:abstractNumId="1">
    <w:nsid w:val="5F2C57A0"/>
    <w:multiLevelType w:val="multilevel"/>
    <w:tmpl w:val="5F2C57A0"/>
    <w:lvl w:ilvl="0" w:tentative="0">
      <w:start w:val="1"/>
      <w:numFmt w:val="decimal"/>
      <w:lvlText w:val="%1."/>
      <w:lvlJc w:val="left"/>
      <w:pPr>
        <w:ind w:left="1100" w:hanging="360"/>
      </w:pPr>
      <w:rPr>
        <w:rFonts w:hint="default"/>
      </w:rPr>
    </w:lvl>
    <w:lvl w:ilvl="1" w:tentative="0">
      <w:start w:val="1"/>
      <w:numFmt w:val="lowerLetter"/>
      <w:lvlText w:val="%2)"/>
      <w:lvlJc w:val="left"/>
      <w:pPr>
        <w:ind w:left="1620" w:hanging="440"/>
      </w:pPr>
    </w:lvl>
    <w:lvl w:ilvl="2" w:tentative="0">
      <w:start w:val="1"/>
      <w:numFmt w:val="lowerRoman"/>
      <w:lvlText w:val="%3."/>
      <w:lvlJc w:val="right"/>
      <w:pPr>
        <w:ind w:left="2060" w:hanging="440"/>
      </w:pPr>
    </w:lvl>
    <w:lvl w:ilvl="3" w:tentative="0">
      <w:start w:val="1"/>
      <w:numFmt w:val="decimal"/>
      <w:lvlText w:val="%4."/>
      <w:lvlJc w:val="left"/>
      <w:pPr>
        <w:ind w:left="2500" w:hanging="440"/>
      </w:pPr>
    </w:lvl>
    <w:lvl w:ilvl="4" w:tentative="0">
      <w:start w:val="1"/>
      <w:numFmt w:val="lowerLetter"/>
      <w:lvlText w:val="%5)"/>
      <w:lvlJc w:val="left"/>
      <w:pPr>
        <w:ind w:left="2940" w:hanging="440"/>
      </w:pPr>
    </w:lvl>
    <w:lvl w:ilvl="5" w:tentative="0">
      <w:start w:val="1"/>
      <w:numFmt w:val="lowerRoman"/>
      <w:lvlText w:val="%6."/>
      <w:lvlJc w:val="right"/>
      <w:pPr>
        <w:ind w:left="3380" w:hanging="440"/>
      </w:pPr>
    </w:lvl>
    <w:lvl w:ilvl="6" w:tentative="0">
      <w:start w:val="1"/>
      <w:numFmt w:val="decimal"/>
      <w:lvlText w:val="%7."/>
      <w:lvlJc w:val="left"/>
      <w:pPr>
        <w:ind w:left="3820" w:hanging="440"/>
      </w:pPr>
    </w:lvl>
    <w:lvl w:ilvl="7" w:tentative="0">
      <w:start w:val="1"/>
      <w:numFmt w:val="lowerLetter"/>
      <w:lvlText w:val="%8)"/>
      <w:lvlJc w:val="left"/>
      <w:pPr>
        <w:ind w:left="4260" w:hanging="440"/>
      </w:pPr>
    </w:lvl>
    <w:lvl w:ilvl="8" w:tentative="0">
      <w:start w:val="1"/>
      <w:numFmt w:val="lowerRoman"/>
      <w:lvlText w:val="%9."/>
      <w:lvlJc w:val="right"/>
      <w:pPr>
        <w:ind w:left="470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iNjczMzYwNjFkNDE5YTI5MTZiNDA4OTBhM2FmYmMifQ=="/>
  </w:docVars>
  <w:rsids>
    <w:rsidRoot w:val="001E36EE"/>
    <w:rsid w:val="00041202"/>
    <w:rsid w:val="000431F7"/>
    <w:rsid w:val="0004514B"/>
    <w:rsid w:val="000B0382"/>
    <w:rsid w:val="000B0ACE"/>
    <w:rsid w:val="00134DE8"/>
    <w:rsid w:val="00163EB2"/>
    <w:rsid w:val="001A0261"/>
    <w:rsid w:val="001E36EE"/>
    <w:rsid w:val="0025070B"/>
    <w:rsid w:val="002923DF"/>
    <w:rsid w:val="00325784"/>
    <w:rsid w:val="00325DC8"/>
    <w:rsid w:val="003313A8"/>
    <w:rsid w:val="0033679A"/>
    <w:rsid w:val="00363B9D"/>
    <w:rsid w:val="00372DFC"/>
    <w:rsid w:val="003E497A"/>
    <w:rsid w:val="003F232B"/>
    <w:rsid w:val="004664A8"/>
    <w:rsid w:val="004F6820"/>
    <w:rsid w:val="00520F58"/>
    <w:rsid w:val="005624CA"/>
    <w:rsid w:val="005A183C"/>
    <w:rsid w:val="005D555D"/>
    <w:rsid w:val="006663D4"/>
    <w:rsid w:val="006C4C8D"/>
    <w:rsid w:val="00777A1B"/>
    <w:rsid w:val="007D3556"/>
    <w:rsid w:val="0081723A"/>
    <w:rsid w:val="008E5DD8"/>
    <w:rsid w:val="00925978"/>
    <w:rsid w:val="00950317"/>
    <w:rsid w:val="00985226"/>
    <w:rsid w:val="009F79EA"/>
    <w:rsid w:val="00B10492"/>
    <w:rsid w:val="00B14B75"/>
    <w:rsid w:val="00B57BE9"/>
    <w:rsid w:val="00BA18DE"/>
    <w:rsid w:val="00BC6C4D"/>
    <w:rsid w:val="00C36540"/>
    <w:rsid w:val="00C479F9"/>
    <w:rsid w:val="00C55BEF"/>
    <w:rsid w:val="00C71800"/>
    <w:rsid w:val="00CE4936"/>
    <w:rsid w:val="00CF13F9"/>
    <w:rsid w:val="00D779FF"/>
    <w:rsid w:val="00DA1FF4"/>
    <w:rsid w:val="00DB6D7B"/>
    <w:rsid w:val="00E07103"/>
    <w:rsid w:val="00E467DD"/>
    <w:rsid w:val="00FA2CB7"/>
    <w:rsid w:val="00FD678E"/>
    <w:rsid w:val="00FE2C3B"/>
    <w:rsid w:val="012D71DB"/>
    <w:rsid w:val="04E120B0"/>
    <w:rsid w:val="086E178C"/>
    <w:rsid w:val="09412D13"/>
    <w:rsid w:val="0A2A0B1A"/>
    <w:rsid w:val="10A72822"/>
    <w:rsid w:val="10B218AB"/>
    <w:rsid w:val="11DC4432"/>
    <w:rsid w:val="16975AF5"/>
    <w:rsid w:val="1D435CFE"/>
    <w:rsid w:val="1DAC2D67"/>
    <w:rsid w:val="1F333198"/>
    <w:rsid w:val="239B2179"/>
    <w:rsid w:val="23AA2793"/>
    <w:rsid w:val="26866228"/>
    <w:rsid w:val="27F56A91"/>
    <w:rsid w:val="2A8E23B8"/>
    <w:rsid w:val="2BA9610D"/>
    <w:rsid w:val="30D4772B"/>
    <w:rsid w:val="370E607B"/>
    <w:rsid w:val="37B9041C"/>
    <w:rsid w:val="3E5C6325"/>
    <w:rsid w:val="41765D5A"/>
    <w:rsid w:val="436540BC"/>
    <w:rsid w:val="45BE0C6C"/>
    <w:rsid w:val="49F42EAF"/>
    <w:rsid w:val="4F464AD6"/>
    <w:rsid w:val="55737960"/>
    <w:rsid w:val="5C680CBE"/>
    <w:rsid w:val="5F693096"/>
    <w:rsid w:val="65247D2E"/>
    <w:rsid w:val="6BAA7419"/>
    <w:rsid w:val="6C4A6B37"/>
    <w:rsid w:val="6C734478"/>
    <w:rsid w:val="71DF4A3D"/>
    <w:rsid w:val="71E15005"/>
    <w:rsid w:val="725D3437"/>
    <w:rsid w:val="74A92964"/>
    <w:rsid w:val="78CB14FA"/>
    <w:rsid w:val="79D12847"/>
    <w:rsid w:val="7B5829EE"/>
    <w:rsid w:val="7E0C0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1"/>
    <w:pPr>
      <w:ind w:left="447" w:right="110"/>
      <w:jc w:val="center"/>
      <w:outlineLvl w:val="0"/>
    </w:pPr>
    <w:rPr>
      <w:b/>
      <w:bCs/>
      <w:sz w:val="39"/>
      <w:szCs w:val="39"/>
    </w:rPr>
  </w:style>
  <w:style w:type="paragraph" w:styleId="3">
    <w:name w:val="heading 2"/>
    <w:basedOn w:val="1"/>
    <w:next w:val="1"/>
    <w:autoRedefine/>
    <w:qFormat/>
    <w:uiPriority w:val="1"/>
    <w:pPr>
      <w:ind w:left="260"/>
      <w:outlineLvl w:val="1"/>
    </w:pPr>
    <w:rPr>
      <w:b/>
      <w:bCs/>
      <w:sz w:val="21"/>
      <w:szCs w:val="21"/>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rPr>
      <w:sz w:val="21"/>
      <w:szCs w:val="21"/>
    </w:rPr>
  </w:style>
  <w:style w:type="paragraph" w:styleId="5">
    <w:name w:val="footer"/>
    <w:basedOn w:val="1"/>
    <w:autoRedefine/>
    <w:qFormat/>
    <w:uiPriority w:val="0"/>
    <w:pPr>
      <w:tabs>
        <w:tab w:val="center" w:pos="4153"/>
        <w:tab w:val="right" w:pos="8306"/>
      </w:tabs>
      <w:snapToGrid w:val="0"/>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autoRedefine/>
    <w:qFormat/>
    <w:uiPriority w:val="0"/>
    <w:pPr>
      <w:spacing w:beforeAutospacing="1" w:afterAutospacing="1"/>
    </w:pPr>
    <w:rPr>
      <w:rFonts w:cs="Times New Roman"/>
      <w:sz w:val="24"/>
      <w:lang w:val="en-US" w:bidi="ar-SA"/>
    </w:rPr>
  </w:style>
  <w:style w:type="character" w:styleId="10">
    <w:name w:val="Hyperlink"/>
    <w:basedOn w:val="9"/>
    <w:autoRedefine/>
    <w:qFormat/>
    <w:uiPriority w:val="0"/>
    <w:rPr>
      <w:color w:val="0000FF"/>
      <w:u w:val="single"/>
    </w:rPr>
  </w:style>
  <w:style w:type="table" w:customStyle="1" w:styleId="11">
    <w:name w:val="Table Normal"/>
    <w:autoRedefine/>
    <w:semiHidden/>
    <w:unhideWhenUsed/>
    <w:qFormat/>
    <w:uiPriority w:val="2"/>
    <w:tblPr>
      <w:tblCellMar>
        <w:top w:w="0" w:type="dxa"/>
        <w:left w:w="0" w:type="dxa"/>
        <w:bottom w:w="0" w:type="dxa"/>
        <w:right w:w="0" w:type="dxa"/>
      </w:tblCellMar>
    </w:tblPr>
  </w:style>
  <w:style w:type="paragraph" w:styleId="12">
    <w:name w:val="List Paragraph"/>
    <w:basedOn w:val="1"/>
    <w:autoRedefine/>
    <w:qFormat/>
    <w:uiPriority w:val="1"/>
    <w:pPr>
      <w:spacing w:before="137"/>
      <w:ind w:left="260" w:hanging="530"/>
    </w:pPr>
  </w:style>
  <w:style w:type="paragraph" w:customStyle="1" w:styleId="13">
    <w:name w:val="Table Paragraph"/>
    <w:basedOn w:val="1"/>
    <w:autoRedefine/>
    <w:qFormat/>
    <w:uiPriority w:val="1"/>
    <w:pPr>
      <w:spacing w:before="32"/>
      <w:ind w:left="30"/>
    </w:pPr>
  </w:style>
  <w:style w:type="character" w:customStyle="1" w:styleId="14">
    <w:name w:val="font11"/>
    <w:basedOn w:val="9"/>
    <w:autoRedefine/>
    <w:qFormat/>
    <w:uiPriority w:val="0"/>
    <w:rPr>
      <w:rFonts w:hint="eastAsia" w:ascii="宋体" w:hAnsi="宋体" w:eastAsia="宋体" w:cs="宋体"/>
      <w:color w:val="000000"/>
      <w:sz w:val="22"/>
      <w:szCs w:val="22"/>
      <w:u w:val="none"/>
    </w:rPr>
  </w:style>
  <w:style w:type="character" w:customStyle="1" w:styleId="15">
    <w:name w:val="font41"/>
    <w:basedOn w:val="9"/>
    <w:autoRedefine/>
    <w:qFormat/>
    <w:uiPriority w:val="0"/>
    <w:rPr>
      <w:rFonts w:hint="default" w:ascii="Times New Roman" w:hAnsi="Times New Roman" w:cs="Times New Roman"/>
      <w:color w:val="000000"/>
      <w:sz w:val="20"/>
      <w:szCs w:val="20"/>
      <w:u w:val="none"/>
    </w:rPr>
  </w:style>
  <w:style w:type="character" w:customStyle="1" w:styleId="16">
    <w:name w:val="font51"/>
    <w:basedOn w:val="9"/>
    <w:autoRedefine/>
    <w:qFormat/>
    <w:uiPriority w:val="0"/>
    <w:rPr>
      <w:rFonts w:hint="eastAsia" w:ascii="宋体" w:hAnsi="宋体" w:eastAsia="宋体" w:cs="宋体"/>
      <w:color w:val="000000"/>
      <w:sz w:val="20"/>
      <w:szCs w:val="20"/>
      <w:u w:val="none"/>
    </w:rPr>
  </w:style>
  <w:style w:type="character" w:customStyle="1" w:styleId="17">
    <w:name w:val="font31"/>
    <w:basedOn w:val="9"/>
    <w:autoRedefine/>
    <w:qFormat/>
    <w:uiPriority w:val="0"/>
    <w:rPr>
      <w:rFonts w:hint="default" w:ascii="Times New Roman" w:hAnsi="Times New Roman" w:cs="Times New Roman"/>
      <w:color w:val="000000"/>
      <w:sz w:val="20"/>
      <w:szCs w:val="20"/>
      <w:u w:val="none"/>
    </w:rPr>
  </w:style>
  <w:style w:type="character" w:customStyle="1" w:styleId="18">
    <w:name w:val="font21"/>
    <w:basedOn w:val="9"/>
    <w:autoRedefine/>
    <w:qFormat/>
    <w:uiPriority w:val="0"/>
    <w:rPr>
      <w:rFonts w:hint="eastAsia" w:ascii="宋体" w:hAnsi="宋体" w:eastAsia="宋体" w:cs="宋体"/>
      <w:color w:val="000000"/>
      <w:sz w:val="20"/>
      <w:szCs w:val="20"/>
      <w:u w:val="none"/>
    </w:rPr>
  </w:style>
  <w:style w:type="character" w:customStyle="1" w:styleId="19">
    <w:name w:val="font01"/>
    <w:basedOn w:val="9"/>
    <w:autoRedefine/>
    <w:qFormat/>
    <w:uiPriority w:val="0"/>
    <w:rPr>
      <w:rFonts w:hint="eastAsia" w:ascii="宋体" w:hAnsi="宋体" w:eastAsia="宋体" w:cs="宋体"/>
      <w:color w:val="000000"/>
      <w:sz w:val="20"/>
      <w:szCs w:val="20"/>
      <w:u w:val="none"/>
    </w:rPr>
  </w:style>
  <w:style w:type="paragraph" w:customStyle="1" w:styleId="20">
    <w:name w:val="Revision"/>
    <w:autoRedefine/>
    <w:hidden/>
    <w:unhideWhenUsed/>
    <w:qFormat/>
    <w:uiPriority w:val="99"/>
    <w:rPr>
      <w:rFonts w:ascii="宋体" w:hAnsi="宋体" w:eastAsia="宋体" w:cs="宋体"/>
      <w:sz w:val="22"/>
      <w:szCs w:val="22"/>
      <w:lang w:val="zh-CN" w:eastAsia="zh-CN" w:bidi="zh-CN"/>
    </w:rPr>
  </w:style>
  <w:style w:type="paragraph" w:customStyle="1" w:styleId="21">
    <w:name w:val="【表格-使用】"/>
    <w:basedOn w:val="1"/>
    <w:autoRedefine/>
    <w:qFormat/>
    <w:uiPriority w:val="0"/>
    <w:pPr>
      <w:autoSpaceDE/>
      <w:autoSpaceDN/>
      <w:jc w:val="center"/>
    </w:pPr>
    <w:rPr>
      <w:rFonts w:ascii="Times New Roman" w:hAnsi="Times New Roman" w:cs="Times New Roman"/>
      <w:kern w:val="2"/>
      <w:sz w:val="20"/>
      <w:szCs w:val="24"/>
      <w:lang w:val="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242</Words>
  <Characters>1381</Characters>
  <Lines>11</Lines>
  <Paragraphs>3</Paragraphs>
  <TotalTime>0</TotalTime>
  <ScaleCrop>false</ScaleCrop>
  <LinksUpToDate>false</LinksUpToDate>
  <CharactersWithSpaces>1620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2024-01-06T09:05:00Z</dcterms:created>
  <dc:creator>LIUYING</dc:creator>
  <cp:lastModifiedBy>yiyu</cp:lastModifiedBy>
  <dcterms:modified xsi:type="dcterms:W3CDTF">2024-04-02T00:39:52Z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2013</vt:lpwstr>
  </property>
  <property fmtid="{D5CDD505-2E9C-101B-9397-08002B2CF9AE}" pid="4" name="LastSaved">
    <vt:filetime>2022-12-05T00:00:00Z</vt:filetime>
  </property>
  <property fmtid="{D5CDD505-2E9C-101B-9397-08002B2CF9AE}" pid="5" name="KSOProductBuildVer">
    <vt:lpwstr>2052-12.1.0.16417</vt:lpwstr>
  </property>
  <property fmtid="{D5CDD505-2E9C-101B-9397-08002B2CF9AE}" pid="6" name="ICV">
    <vt:lpwstr>7602260CFA2A4902BE1B0C5EBDF99429_13</vt:lpwstr>
  </property>
</Properties>
</file>